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8AD" w:rsidRDefault="00DB18AD">
      <w:pPr>
        <w:rPr>
          <w:sz w:val="28"/>
          <w:szCs w:val="28"/>
        </w:rPr>
      </w:pPr>
      <w:bookmarkStart w:id="0" w:name="_GoBack"/>
      <w:bookmarkEnd w:id="0"/>
    </w:p>
    <w:p w:rsidR="005753AB" w:rsidRDefault="005753AB">
      <w:pPr>
        <w:rPr>
          <w:b/>
          <w:sz w:val="28"/>
          <w:szCs w:val="28"/>
        </w:rPr>
      </w:pPr>
    </w:p>
    <w:p w:rsidR="005753AB" w:rsidRPr="005753AB" w:rsidRDefault="005753AB" w:rsidP="005753AB">
      <w:pPr>
        <w:pStyle w:val="ListParagraph"/>
        <w:numPr>
          <w:ilvl w:val="0"/>
          <w:numId w:val="1"/>
        </w:numPr>
      </w:pPr>
      <w:r w:rsidRPr="005753AB">
        <w:rPr>
          <w:rFonts w:asciiTheme="minorHAnsi" w:eastAsiaTheme="minorEastAsia" w:hAnsi="Calibri" w:cstheme="minorBidi"/>
          <w:color w:val="000000" w:themeColor="text1"/>
          <w:kern w:val="24"/>
        </w:rPr>
        <w:t>Soldiers in the Treatment condition exhibited better scores on eight of the dimensions/subscales used by the GAT to measure resilience and psychological health (R/ PH).</w:t>
      </w:r>
    </w:p>
    <w:p w:rsidR="005753AB" w:rsidRPr="005753AB" w:rsidRDefault="005753AB" w:rsidP="005753AB">
      <w:pPr>
        <w:pStyle w:val="ListParagraph"/>
        <w:numPr>
          <w:ilvl w:val="0"/>
          <w:numId w:val="1"/>
        </w:numPr>
      </w:pPr>
      <w:r w:rsidRPr="005753AB">
        <w:rPr>
          <w:rFonts w:asciiTheme="minorHAnsi" w:eastAsiaTheme="minorEastAsia" w:hAnsi="Calibri" w:cstheme="minorBidi"/>
          <w:color w:val="000000" w:themeColor="text1"/>
          <w:kern w:val="24"/>
        </w:rPr>
        <w:t>The Treatment condition experienced significantly higher rates of growth in R/ PH than the Control condition on four of the dimensions/subscales used to measure R/ PH.</w:t>
      </w:r>
    </w:p>
    <w:p w:rsidR="005753AB" w:rsidRPr="005753AB" w:rsidRDefault="005753AB" w:rsidP="005753AB">
      <w:pPr>
        <w:pStyle w:val="ListParagraph"/>
        <w:numPr>
          <w:ilvl w:val="0"/>
          <w:numId w:val="1"/>
        </w:numPr>
      </w:pPr>
      <w:r w:rsidRPr="005753AB">
        <w:rPr>
          <w:rFonts w:asciiTheme="minorHAnsi" w:eastAsiaTheme="minorEastAsia" w:hAnsi="Calibri" w:cstheme="minorBidi"/>
          <w:color w:val="000000" w:themeColor="text1"/>
          <w:kern w:val="24"/>
        </w:rPr>
        <w:t>The treatment had a stronger effect on R/ PH for Soldiers 18-24 years old in comparison to Soldiers over 24 years of age.</w:t>
      </w:r>
    </w:p>
    <w:p w:rsidR="005753AB" w:rsidRPr="005753AB" w:rsidRDefault="005753AB" w:rsidP="005753AB">
      <w:pPr>
        <w:pStyle w:val="ListParagraph"/>
        <w:numPr>
          <w:ilvl w:val="0"/>
          <w:numId w:val="1"/>
        </w:numPr>
      </w:pPr>
      <w:r w:rsidRPr="005753AB">
        <w:rPr>
          <w:rFonts w:asciiTheme="minorHAnsi" w:eastAsiaTheme="minorEastAsia" w:hAnsi="Calibri" w:cstheme="minorBidi"/>
          <w:color w:val="000000" w:themeColor="text1"/>
          <w:kern w:val="24"/>
        </w:rPr>
        <w:t>Evidence indicates that the presence of MRT trainers enhances the resilience levels of younger Soldiers.</w:t>
      </w:r>
    </w:p>
    <w:p w:rsidR="005753AB" w:rsidRPr="005753AB" w:rsidRDefault="005753AB" w:rsidP="005753AB">
      <w:pPr>
        <w:pStyle w:val="ListParagraph"/>
        <w:numPr>
          <w:ilvl w:val="0"/>
          <w:numId w:val="1"/>
        </w:numPr>
      </w:pPr>
      <w:r w:rsidRPr="005753A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There were no moderating effects of gender, leadership, or unit cohesion on the link between MRT training and R/ PH.</w:t>
      </w:r>
    </w:p>
    <w:p w:rsidR="005753AB" w:rsidRPr="005753AB" w:rsidRDefault="005753AB" w:rsidP="005753AB">
      <w:pPr>
        <w:pStyle w:val="ListParagraph"/>
        <w:numPr>
          <w:ilvl w:val="0"/>
          <w:numId w:val="1"/>
        </w:numPr>
      </w:pPr>
      <w:r w:rsidRPr="005753AB">
        <w:rPr>
          <w:rFonts w:asciiTheme="minorHAnsi" w:eastAsiaTheme="minorEastAsia" w:hAnsi="Calibri" w:cstheme="minorBidi"/>
          <w:color w:val="000000" w:themeColor="text1"/>
          <w:kern w:val="24"/>
        </w:rPr>
        <w:t>MRT training appeared to be more effective when MRTs had formally implemented training, when they felt prepared to train, and when they felt they had the support of their Command.</w:t>
      </w:r>
    </w:p>
    <w:p w:rsidR="005753AB" w:rsidRPr="005753AB" w:rsidRDefault="005753AB" w:rsidP="005753AB">
      <w:pPr>
        <w:pStyle w:val="ListParagraph"/>
        <w:numPr>
          <w:ilvl w:val="0"/>
          <w:numId w:val="1"/>
        </w:numPr>
      </w:pPr>
      <w:r w:rsidRPr="005753AB">
        <w:rPr>
          <w:rFonts w:asciiTheme="minorHAnsi" w:eastAsiaTheme="minorEastAsia" w:hAnsi="Calibri" w:cstheme="minorBidi"/>
          <w:color w:val="000000" w:themeColor="text1"/>
          <w:kern w:val="24"/>
        </w:rPr>
        <w:t>Together the results suggest MRT training and the presence of MRTs within units can enhance the R/ PH of Soldiers.</w:t>
      </w:r>
    </w:p>
    <w:p w:rsidR="005753AB" w:rsidRPr="005753AB" w:rsidRDefault="005753AB">
      <w:pPr>
        <w:rPr>
          <w:b/>
          <w:sz w:val="24"/>
          <w:szCs w:val="24"/>
        </w:rPr>
      </w:pPr>
    </w:p>
    <w:sectPr w:rsidR="005753AB" w:rsidRPr="005753A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72E" w:rsidRDefault="00D5172E" w:rsidP="00DB18AD">
      <w:pPr>
        <w:spacing w:after="0" w:line="240" w:lineRule="auto"/>
      </w:pPr>
      <w:r>
        <w:separator/>
      </w:r>
    </w:p>
  </w:endnote>
  <w:endnote w:type="continuationSeparator" w:id="0">
    <w:p w:rsidR="00D5172E" w:rsidRDefault="00D5172E" w:rsidP="00DB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72E" w:rsidRDefault="00D5172E" w:rsidP="00DB18AD">
      <w:pPr>
        <w:spacing w:after="0" w:line="240" w:lineRule="auto"/>
      </w:pPr>
      <w:r>
        <w:separator/>
      </w:r>
    </w:p>
  </w:footnote>
  <w:footnote w:type="continuationSeparator" w:id="0">
    <w:p w:rsidR="00D5172E" w:rsidRDefault="00D5172E" w:rsidP="00DB1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8AD" w:rsidRDefault="00DB18A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B18AD" w:rsidRDefault="00D075A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Key Takeaways from Longitudinal Analysis of the Impact of Master Resilience Training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DB18AD" w:rsidRDefault="00D075A1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Key Takeaways from Longitudinal Analysis of the Impact of Master Resilience Training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A7B21"/>
    <w:multiLevelType w:val="hybridMultilevel"/>
    <w:tmpl w:val="D11E190E"/>
    <w:lvl w:ilvl="0" w:tplc="6F00F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23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865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241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DCD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1EF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61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8E3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56A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AB"/>
    <w:rsid w:val="0007177C"/>
    <w:rsid w:val="00547FF8"/>
    <w:rsid w:val="005753AB"/>
    <w:rsid w:val="00D075A1"/>
    <w:rsid w:val="00D5172E"/>
    <w:rsid w:val="00DB18AD"/>
    <w:rsid w:val="00DD4BB7"/>
    <w:rsid w:val="00E13F7A"/>
    <w:rsid w:val="00FB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A096F8-2980-41CD-ABC6-BC371CCF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3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1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8AD"/>
  </w:style>
  <w:style w:type="paragraph" w:styleId="Footer">
    <w:name w:val="footer"/>
    <w:basedOn w:val="Normal"/>
    <w:link w:val="FooterChar"/>
    <w:uiPriority w:val="99"/>
    <w:unhideWhenUsed/>
    <w:rsid w:val="00DB1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695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384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55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87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8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57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94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Takeaways from Longitudinal Analysis of the Impact of Master Resilience Training</vt:lpstr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Takeaways from Longitudinal Analysis of the Impact of Master Resilience Training</dc:title>
  <dc:subject/>
  <dc:creator>Laura Copland</dc:creator>
  <cp:keywords/>
  <dc:description/>
  <cp:lastModifiedBy>Laura Copland</cp:lastModifiedBy>
  <cp:revision>2</cp:revision>
  <dcterms:created xsi:type="dcterms:W3CDTF">2016-01-07T18:47:00Z</dcterms:created>
  <dcterms:modified xsi:type="dcterms:W3CDTF">2016-01-07T18:47:00Z</dcterms:modified>
</cp:coreProperties>
</file>