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8DF18" w14:textId="77777777" w:rsidR="0057280A" w:rsidRDefault="00137EDB">
      <w:r>
        <w:rPr>
          <w:noProof/>
        </w:rPr>
        <mc:AlternateContent>
          <mc:Choice Requires="wpg">
            <w:drawing>
              <wp:anchor distT="91440" distB="91440" distL="114300" distR="114300" simplePos="0" relativeHeight="251658240" behindDoc="0" locked="0" layoutInCell="1" hidden="0" allowOverlap="1" wp14:anchorId="703FF0C9" wp14:editId="60053525">
                <wp:simplePos x="0" y="0"/>
                <wp:positionH relativeFrom="page">
                  <wp:posOffset>425450</wp:posOffset>
                </wp:positionH>
                <wp:positionV relativeFrom="page">
                  <wp:posOffset>1901825</wp:posOffset>
                </wp:positionV>
                <wp:extent cx="6903720" cy="19050"/>
                <wp:effectExtent l="0" t="0" r="0" b="0"/>
                <wp:wrapSquare wrapText="bothSides" distT="91440" distB="91440" distL="114300" distR="114300"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94140" y="378000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E1B15A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91440" distT="91440" distL="114300" distR="114300" hidden="0" layoutInCell="1" locked="0" relativeHeight="0" simplePos="0">
                <wp:simplePos x="0" y="0"/>
                <wp:positionH relativeFrom="page">
                  <wp:posOffset>425450</wp:posOffset>
                </wp:positionH>
                <wp:positionV relativeFrom="page">
                  <wp:posOffset>1901825</wp:posOffset>
                </wp:positionV>
                <wp:extent cx="6903720" cy="19050"/>
                <wp:effectExtent b="0" l="0" r="0" t="0"/>
                <wp:wrapSquare wrapText="bothSides" distB="91440" distT="91440" distL="114300" distR="11430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037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914400" distB="91440" distL="114300" distR="114300" simplePos="0" relativeHeight="251659264" behindDoc="0" locked="0" layoutInCell="1" hidden="0" allowOverlap="1" wp14:anchorId="42D4BC76" wp14:editId="764EC38B">
                <wp:simplePos x="0" y="0"/>
                <wp:positionH relativeFrom="page">
                  <wp:posOffset>452438</wp:posOffset>
                </wp:positionH>
                <wp:positionV relativeFrom="page">
                  <wp:posOffset>1439228</wp:posOffset>
                </wp:positionV>
                <wp:extent cx="6867525" cy="466725"/>
                <wp:effectExtent l="0" t="0" r="0" b="0"/>
                <wp:wrapSquare wrapText="bothSides" distT="914400" distB="9144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55140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EEC1E" w14:textId="77777777" w:rsidR="0057280A" w:rsidRDefault="00137ED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20245D"/>
                                <w:sz w:val="48"/>
                              </w:rPr>
                              <w:t>Patient Health Questionnaire (PHQ)</w:t>
                            </w:r>
                          </w:p>
                          <w:p w14:paraId="1D74EFE0" w14:textId="77777777" w:rsidR="0057280A" w:rsidRDefault="0057280A">
                            <w:pPr>
                              <w:textDirection w:val="btLr"/>
                            </w:pPr>
                          </w:p>
                          <w:p w14:paraId="2A2327F6" w14:textId="77777777" w:rsidR="0057280A" w:rsidRDefault="0057280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4BC76" id="Rectangle 6" o:spid="_x0000_s1026" style="position:absolute;margin-left:35.65pt;margin-top:113.35pt;width:540.75pt;height:36.75pt;z-index:251659264;visibility:visible;mso-wrap-style:square;mso-wrap-distance-left:9pt;mso-wrap-distance-top:1in;mso-wrap-distance-right:9pt;mso-wrap-distance-bottom:7.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" filled="f" stroked="f">
                <v:textbox inset="0,0,0,0">
                  <w:txbxContent>
                    <w:p w14:paraId="1EBEEC1E" w14:textId="77777777" w:rsidR="0057280A" w:rsidRDefault="00137EDB">
                      <w:pPr>
                        <w:jc w:val="center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20245D"/>
                          <w:sz w:val="48"/>
                        </w:rPr>
                        <w:t>Patient Health Questionnaire (PHQ)</w:t>
                      </w:r>
                    </w:p>
                    <w:p w14:paraId="1D74EFE0" w14:textId="77777777" w:rsidR="0057280A" w:rsidRDefault="0057280A">
                      <w:pPr>
                        <w:textDirection w:val="btLr"/>
                      </w:pPr>
                    </w:p>
                    <w:p w14:paraId="2A2327F6" w14:textId="77777777" w:rsidR="0057280A" w:rsidRDefault="0057280A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17537B41" w14:textId="77777777" w:rsidR="0057280A" w:rsidRDefault="00137EDB">
      <w:pPr>
        <w:pStyle w:val="Heading1"/>
      </w:pPr>
      <w:r>
        <w:t>About the PHQ</w:t>
      </w:r>
    </w:p>
    <w:p w14:paraId="78AC36CA" w14:textId="77777777" w:rsidR="0057280A" w:rsidRDefault="00137EDB">
      <w:pPr>
        <w:pStyle w:val="Heading2"/>
      </w:pPr>
      <w:r>
        <w:t>What does it measure?</w:t>
      </w:r>
    </w:p>
    <w:p w14:paraId="01BEDCD9" w14:textId="77777777" w:rsidR="0057280A" w:rsidRDefault="00137EDB">
      <w:r>
        <w:t>The Patient Health Questionnaire (PHQ) is a self-report instrument that measures depression severity. The PHQ-9 is a nine-item measure that incorporates characteristic symptoms of Major Depressive Disorder and the presence and duration of suicidal ideation</w:t>
      </w:r>
      <w:r>
        <w:t>. Alternative forms of the PHQ depression measure include the PHQ-2. The PHQ-2 is a brief measure of depression that comprises the first two questions of the PHQ-9. Primary care settings typically use the PHQ-2 to briefly screen patients for depression. It</w:t>
      </w:r>
      <w:r>
        <w:t xml:space="preserve"> is recommended to administer the full PHQ-9 after a patient endorses the first two items on the PHQ-2.  </w:t>
      </w:r>
      <w:r>
        <w:rPr>
          <w:noProof/>
        </w:rPr>
        <w:drawing>
          <wp:anchor distT="91440" distB="91440" distL="114300" distR="114300" simplePos="0" relativeHeight="251660288" behindDoc="0" locked="0" layoutInCell="1" hidden="0" allowOverlap="1" wp14:anchorId="46B0B30B" wp14:editId="03D1771B">
            <wp:simplePos x="0" y="0"/>
            <wp:positionH relativeFrom="column">
              <wp:posOffset>4660900</wp:posOffset>
            </wp:positionH>
            <wp:positionV relativeFrom="paragraph">
              <wp:posOffset>1906</wp:posOffset>
            </wp:positionV>
            <wp:extent cx="2112010" cy="2670175"/>
            <wp:effectExtent l="9525" t="9525" r="9525" b="9525"/>
            <wp:wrapSquare wrapText="bothSides" distT="91440" distB="91440" distL="114300" distR="114300"/>
            <wp:docPr id="10" name="image3.png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abl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2670175"/>
                    </a:xfrm>
                    <a:prstGeom prst="rect">
                      <a:avLst/>
                    </a:prstGeom>
                    <a:ln w="9525">
                      <a:solidFill>
                        <a:srgbClr val="90909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122B0EE2" w14:textId="77777777" w:rsidR="0057280A" w:rsidRDefault="0057280A"/>
    <w:p w14:paraId="18E6A15D" w14:textId="77777777" w:rsidR="0057280A" w:rsidRPr="00AB0CE2" w:rsidRDefault="00137EDB">
      <w:r>
        <w:rPr>
          <w:rFonts w:ascii="Calibri" w:eastAsia="Calibri" w:hAnsi="Calibri" w:cs="Calibri"/>
          <w:color w:val="20245D"/>
          <w:sz w:val="26"/>
          <w:szCs w:val="26"/>
        </w:rPr>
        <w:t>Availability</w:t>
      </w:r>
      <w:r>
        <w:rPr>
          <w:rFonts w:ascii="Calibri" w:eastAsia="Calibri" w:hAnsi="Calibri" w:cs="Calibri"/>
          <w:b/>
          <w:i/>
        </w:rPr>
        <w:br/>
      </w:r>
      <w:r>
        <w:t xml:space="preserve">All PHQ measures are available in the public domain. </w:t>
      </w:r>
      <w:r>
        <w:rPr>
          <w:color w:val="202000"/>
        </w:rPr>
        <w:t>No permission is required to reproduce, translate, display or distribute them.</w:t>
      </w:r>
      <w:r>
        <w:t xml:space="preserve"> The</w:t>
      </w:r>
      <w:r>
        <w:t xml:space="preserve"> PHQ measures were developed by Drs. Robert L. Spitzer, Janet B.W. Williams, Kurt Kroenke and colleagues with the support of an educational grant from Pfizer Inc</w:t>
      </w:r>
      <w:r w:rsidRPr="00AB0CE2">
        <w:t xml:space="preserve">. </w:t>
      </w:r>
      <w:r w:rsidRPr="00AB0CE2">
        <w:t>The PHQ-2 and PHQ-9 are also included in the battery of measures available within the Behavio</w:t>
      </w:r>
      <w:r w:rsidRPr="00AB0CE2">
        <w:t>r Health Data Portal (BHDP). The BHDP is a software platform used to measure and examine patient-level clinical outcomes in military behavioral health clinics.</w:t>
      </w:r>
    </w:p>
    <w:p w14:paraId="62C92C2C" w14:textId="77777777" w:rsidR="0057280A" w:rsidRDefault="0057280A">
      <w:pPr>
        <w:rPr>
          <w:b/>
          <w:i/>
        </w:rPr>
      </w:pPr>
    </w:p>
    <w:p w14:paraId="5AB08773" w14:textId="77777777" w:rsidR="0057280A" w:rsidRDefault="00137EDB">
      <w:pPr>
        <w:pStyle w:val="Heading1"/>
      </w:pPr>
      <w:r>
        <w:t>Scoring the PHQ</w:t>
      </w:r>
    </w:p>
    <w:p w14:paraId="41491D18" w14:textId="77777777" w:rsidR="0057280A" w:rsidRPr="00AB0CE2" w:rsidRDefault="00137ED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>
        <w:rPr>
          <w:rFonts w:ascii="Calibri" w:eastAsia="Calibri" w:hAnsi="Calibri" w:cs="Calibri"/>
          <w:color w:val="20245D"/>
          <w:sz w:val="26"/>
          <w:szCs w:val="26"/>
        </w:rPr>
        <w:t>What is the scoring range?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br/>
      </w:r>
      <w:r w:rsidRPr="00AB0CE2">
        <w:rPr>
          <w:rFonts w:asciiTheme="majorHAnsi" w:eastAsia="Calibri" w:hAnsiTheme="majorHAnsi" w:cstheme="majorHAnsi"/>
          <w:color w:val="000000"/>
        </w:rPr>
        <w:t>Each item is rated on a four-point scale from 0, in</w:t>
      </w:r>
      <w:r w:rsidRPr="00AB0CE2">
        <w:rPr>
          <w:rFonts w:asciiTheme="majorHAnsi" w:eastAsia="Calibri" w:hAnsiTheme="majorHAnsi" w:cstheme="majorHAnsi"/>
          <w:color w:val="000000"/>
        </w:rPr>
        <w:t>dicating the least severity, to 3, indicating the greatest severity. The overall range for the PHQ-9 is 0-27 for the total score. The PHQ-2 is used as a brief screener with an overall range of 0-6.</w:t>
      </w:r>
    </w:p>
    <w:p w14:paraId="2CEE0526" w14:textId="77777777" w:rsidR="0057280A" w:rsidRPr="00AB0CE2" w:rsidRDefault="0057280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sz w:val="24"/>
        </w:rPr>
      </w:pPr>
    </w:p>
    <w:p w14:paraId="42485E11" w14:textId="77777777" w:rsidR="0057280A" w:rsidRDefault="00137EDB">
      <w:pPr>
        <w:pStyle w:val="Heading2"/>
      </w:pPr>
      <w:r>
        <w:t>What are the clinical cutoffs, if any?</w:t>
      </w:r>
    </w:p>
    <w:p w14:paraId="6D4D9527" w14:textId="77777777" w:rsidR="0057280A" w:rsidRDefault="00137EDB">
      <w:r>
        <w:t>Scores of 5, 10, 15, and 20 represent cut points for mild, moderate, moderately severe, and severe depression, respectively on the PHQ-9. The PHQ-8 is scored like the PHQ-9, with identical cut points. For the PHQ-2, a</w:t>
      </w:r>
      <w:r>
        <w:t xml:space="preserve"> score of 3 is used as a clinical cutoff score, indicating the need for additional assessment. </w:t>
      </w:r>
    </w:p>
    <w:p w14:paraId="545FF759" w14:textId="77777777" w:rsidR="0057280A" w:rsidRDefault="00137EDB">
      <w:pPr>
        <w:spacing w:after="160" w:line="256" w:lineRule="auto"/>
      </w:pPr>
      <w:r>
        <w:br w:type="page"/>
      </w:r>
    </w:p>
    <w:p w14:paraId="00A0E6AE" w14:textId="77777777" w:rsidR="0057280A" w:rsidRDefault="0057280A">
      <w:pPr>
        <w:spacing w:after="160" w:line="256" w:lineRule="auto"/>
      </w:pPr>
    </w:p>
    <w:p w14:paraId="37BE506B" w14:textId="77777777" w:rsidR="0057280A" w:rsidRDefault="00137EDB">
      <w:pPr>
        <w:pStyle w:val="Heading2"/>
      </w:pPr>
      <w:r>
        <w:t>How should a provider interpret results for the PHQ-9?</w:t>
      </w:r>
    </w:p>
    <w:p w14:paraId="1B1FDCFC" w14:textId="77777777" w:rsidR="0057280A" w:rsidRDefault="0057280A">
      <w:pPr>
        <w:rPr>
          <w:rFonts w:ascii="Times New Roman" w:hAnsi="Times New Roman"/>
        </w:rPr>
      </w:pPr>
    </w:p>
    <w:tbl>
      <w:tblPr>
        <w:tblStyle w:val="a"/>
        <w:tblW w:w="1080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990"/>
        <w:gridCol w:w="2700"/>
        <w:gridCol w:w="7110"/>
      </w:tblGrid>
      <w:tr w:rsidR="0057280A" w14:paraId="5838A55F" w14:textId="77777777">
        <w:trPr>
          <w:trHeight w:val="45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245D"/>
          </w:tcPr>
          <w:p w14:paraId="306D72C2" w14:textId="77777777" w:rsidR="0057280A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56" w:lineRule="auto"/>
              <w:ind w:left="205"/>
              <w:rPr>
                <w:rFonts w:ascii="Calibri" w:eastAsia="Calibri" w:hAnsi="Calibri" w:cs="Calibri"/>
                <w:color w:val="FFFFFF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2"/>
              </w:rPr>
              <w:t>Score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245D"/>
          </w:tcPr>
          <w:p w14:paraId="71D853B1" w14:textId="77777777" w:rsidR="0057280A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56" w:lineRule="auto"/>
              <w:ind w:left="373" w:right="205" w:hanging="173"/>
              <w:jc w:val="center"/>
              <w:rPr>
                <w:rFonts w:ascii="Calibri" w:eastAsia="Calibri" w:hAnsi="Calibri" w:cs="Calibri"/>
                <w:color w:val="FFFFFF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2"/>
              </w:rPr>
              <w:t>Depression Severity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0245D"/>
          </w:tcPr>
          <w:p w14:paraId="130F97A1" w14:textId="77777777" w:rsidR="0057280A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 w:line="256" w:lineRule="auto"/>
              <w:ind w:left="99"/>
              <w:jc w:val="center"/>
              <w:rPr>
                <w:rFonts w:ascii="Calibri" w:eastAsia="Calibri" w:hAnsi="Calibri" w:cs="Calibri"/>
                <w:color w:val="FFFFFF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2"/>
              </w:rPr>
              <w:t>Proposed Treatment Actions</w:t>
            </w:r>
          </w:p>
        </w:tc>
      </w:tr>
      <w:tr w:rsidR="0057280A" w14:paraId="26F4D81F" w14:textId="77777777">
        <w:trPr>
          <w:trHeight w:val="579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D1BF6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0 – 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655CE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123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None-Minimal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68478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99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None</w:t>
            </w:r>
          </w:p>
        </w:tc>
      </w:tr>
      <w:tr w:rsidR="0057280A" w14:paraId="4F099FD8" w14:textId="77777777">
        <w:trPr>
          <w:trHeight w:val="50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DFBA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5 – 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A9A78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6" w:lineRule="auto"/>
              <w:ind w:right="8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Mild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4B468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 w:line="256" w:lineRule="auto"/>
              <w:ind w:left="99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Watchful waiting; repeat PHQ-9 at follow-up</w:t>
            </w:r>
          </w:p>
        </w:tc>
      </w:tr>
      <w:tr w:rsidR="0057280A" w14:paraId="62B9B89B" w14:textId="77777777">
        <w:trPr>
          <w:trHeight w:val="534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05CC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10 – 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4543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Moderate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31999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99" w:right="90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Treatment plan, considering counseling, follow-up and/or pharmacotherapy</w:t>
            </w:r>
          </w:p>
        </w:tc>
      </w:tr>
      <w:tr w:rsidR="0057280A" w14:paraId="04EE947E" w14:textId="77777777">
        <w:trPr>
          <w:trHeight w:val="552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BEABA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15 – 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A1EF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452" w:right="261" w:hanging="195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Moderately Severe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928CA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99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Active treatment with pharmacotherapy and/or psychotherapy</w:t>
            </w:r>
          </w:p>
        </w:tc>
      </w:tr>
      <w:tr w:rsidR="0057280A" w14:paraId="0F0070FD" w14:textId="77777777">
        <w:trPr>
          <w:trHeight w:val="1010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67B6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20 – 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E84F7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Severe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B506" w14:textId="77777777" w:rsidR="0057280A" w:rsidRPr="00AB0CE2" w:rsidRDefault="00137E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56" w:lineRule="auto"/>
              <w:ind w:left="99" w:right="117"/>
              <w:jc w:val="center"/>
              <w:rPr>
                <w:rFonts w:asciiTheme="majorHAnsi" w:eastAsia="Calibri" w:hAnsiTheme="majorHAnsi" w:cstheme="majorHAnsi"/>
                <w:color w:val="000000"/>
                <w:szCs w:val="22"/>
              </w:rPr>
            </w:pPr>
            <w:r w:rsidRPr="00AB0CE2">
              <w:rPr>
                <w:rFonts w:asciiTheme="majorHAnsi" w:eastAsia="Calibri" w:hAnsiTheme="majorHAnsi" w:cstheme="majorHAnsi"/>
                <w:color w:val="000000"/>
                <w:szCs w:val="22"/>
              </w:rPr>
              <w:t>Immediate initiation of pharmacotherapy and, if severe impairment or poor response to therapy, expedited referral to a behavioral health specialist for psychotherapy and/or collaborative management</w:t>
            </w:r>
          </w:p>
        </w:tc>
      </w:tr>
    </w:tbl>
    <w:p w14:paraId="1EFB4A2B" w14:textId="77777777" w:rsidR="0057280A" w:rsidRDefault="0057280A"/>
    <w:p w14:paraId="29590633" w14:textId="77777777" w:rsidR="0057280A" w:rsidRDefault="00137EDB">
      <w:pPr>
        <w:pStyle w:val="Heading1"/>
      </w:pPr>
      <w:r>
        <w:t>Using the PHQ in Practice</w:t>
      </w:r>
    </w:p>
    <w:p w14:paraId="574F9D4E" w14:textId="77777777" w:rsidR="0057280A" w:rsidRDefault="00137EDB">
      <w:pPr>
        <w:pStyle w:val="Heading2"/>
      </w:pPr>
      <w:r>
        <w:t>How should providers use the r</w:t>
      </w:r>
      <w:r>
        <w:t>esults in treatment planning?</w:t>
      </w:r>
    </w:p>
    <w:p w14:paraId="24529DD1" w14:textId="77777777" w:rsidR="0057280A" w:rsidRDefault="00137EDB">
      <w:r>
        <w:t>Although the PHQ-2 is an excellent screening measure, it is not intended to be used as an outcome measure. Providers should use the PHQ-9 as an objective measure of depression severity. The PHQ-9 can be used to establish a bas</w:t>
      </w:r>
      <w:r>
        <w:t>eline of depression severity and to guide the provider in the type and intensity of therapeutic intervention. The PHQ-9 may be utilized to assess changes over time in depressive symptomology and responses to treatment. As a tool for measurement-based care,</w:t>
      </w:r>
      <w:r>
        <w:t xml:space="preserve"> the PHQ-9 can assist with validating the patient’s experience, empowering decision-making, and positively impacting the clinical relationship.</w:t>
      </w:r>
    </w:p>
    <w:p w14:paraId="107D24A9" w14:textId="7C1FE000" w:rsidR="0057280A" w:rsidRDefault="0057280A">
      <w:pPr>
        <w:rPr>
          <w:rFonts w:ascii="Calibri" w:eastAsia="Calibri" w:hAnsi="Calibri" w:cs="Calibri"/>
          <w:b/>
          <w:color w:val="3E7DAC"/>
        </w:rPr>
      </w:pPr>
    </w:p>
    <w:p w14:paraId="2CC93538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587A327F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3147021E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1E6D5216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17C02B6A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4F0585B1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28D07324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6245892C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0CF34978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443D6F82" w14:textId="77777777" w:rsid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  <w:szCs w:val="22"/>
        </w:rPr>
      </w:pPr>
    </w:p>
    <w:p w14:paraId="029D1E7E" w14:textId="03EBBA34" w:rsidR="00AB0CE2" w:rsidRP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666666"/>
          <w:szCs w:val="22"/>
        </w:rPr>
      </w:pPr>
      <w:r w:rsidRPr="00AB0CE2">
        <w:rPr>
          <w:rFonts w:asciiTheme="majorHAnsi" w:eastAsia="Calibri" w:hAnsiTheme="majorHAnsi" w:cstheme="majorHAnsi"/>
          <w:color w:val="000000"/>
          <w:szCs w:val="22"/>
        </w:rPr>
        <w:t xml:space="preserve">Note:  Copies of the PHQ family of measures, including the GAD-7, are available at </w:t>
      </w:r>
      <w:hyperlink r:id="rId9">
        <w:r w:rsidRPr="00AB0CE2">
          <w:rPr>
            <w:rFonts w:asciiTheme="majorHAnsi" w:eastAsia="Calibri" w:hAnsiTheme="majorHAnsi" w:cstheme="majorHAnsi"/>
            <w:color w:val="0000FF"/>
            <w:szCs w:val="22"/>
            <w:u w:val="single"/>
          </w:rPr>
          <w:t>www.phqscreeners.com</w:t>
        </w:r>
      </w:hyperlink>
      <w:r w:rsidRPr="00AB0CE2">
        <w:rPr>
          <w:rFonts w:asciiTheme="majorHAnsi" w:eastAsia="Calibri" w:hAnsiTheme="majorHAnsi" w:cstheme="majorHAnsi"/>
          <w:color w:val="666666"/>
          <w:szCs w:val="22"/>
        </w:rPr>
        <w:t>.</w:t>
      </w:r>
    </w:p>
    <w:p w14:paraId="60A78836" w14:textId="77777777" w:rsidR="00AB0CE2" w:rsidRPr="00AB0CE2" w:rsidRDefault="00AB0CE2" w:rsidP="00AB0CE2">
      <w:pPr>
        <w:widowControl w:val="0"/>
        <w:pBdr>
          <w:top w:val="nil"/>
          <w:left w:val="nil"/>
          <w:bottom w:val="nil"/>
          <w:right w:val="nil"/>
          <w:between w:val="nil"/>
        </w:pBdr>
        <w:ind w:right="715"/>
        <w:rPr>
          <w:rFonts w:asciiTheme="majorHAnsi" w:hAnsiTheme="majorHAnsi" w:cstheme="majorHAnsi"/>
        </w:rPr>
      </w:pPr>
      <w:r w:rsidRPr="00AB0CE2">
        <w:rPr>
          <w:rFonts w:asciiTheme="majorHAnsi" w:eastAsia="Calibri" w:hAnsiTheme="majorHAnsi" w:cstheme="majorHAnsi"/>
          <w:color w:val="000000"/>
          <w:szCs w:val="22"/>
        </w:rPr>
        <w:t>The website requests acknowledgement of use agreement and that, “Content found at the PHQ Screeners site is expressly exempted from Pfizer’s general copyright restrictions; content found on the PHQ Screeners site is free for download and use as stated within the PHQ Screeners site.” (phqscreeners.com)</w:t>
      </w:r>
    </w:p>
    <w:p w14:paraId="753B9D00" w14:textId="77777777" w:rsidR="00AB0CE2" w:rsidRDefault="00AB0CE2" w:rsidP="00AB0CE2">
      <w:pPr>
        <w:pStyle w:val="Heading3"/>
      </w:pPr>
    </w:p>
    <w:p w14:paraId="2BF410AE" w14:textId="5D2F28C3" w:rsidR="0057280A" w:rsidRPr="00AB0CE2" w:rsidRDefault="00137EDB" w:rsidP="00AB0CE2">
      <w:pPr>
        <w:pStyle w:val="Heading3"/>
      </w:pPr>
      <w:r w:rsidRPr="00AB0CE2">
        <w:t>References</w:t>
      </w:r>
    </w:p>
    <w:p w14:paraId="4D30C045" w14:textId="77777777" w:rsidR="0057280A" w:rsidRPr="00AB0CE2" w:rsidRDefault="00137EDB">
      <w:pPr>
        <w:rPr>
          <w:rFonts w:asciiTheme="majorHAnsi" w:hAnsiTheme="majorHAnsi" w:cstheme="majorHAnsi"/>
          <w:color w:val="000000"/>
          <w:sz w:val="20"/>
          <w:szCs w:val="20"/>
        </w:rPr>
      </w:pPr>
      <w:r w:rsidRPr="00AB0CE2">
        <w:rPr>
          <w:rFonts w:asciiTheme="majorHAnsi" w:hAnsiTheme="majorHAnsi" w:cstheme="majorHAnsi"/>
          <w:color w:val="000000"/>
          <w:sz w:val="20"/>
          <w:szCs w:val="20"/>
        </w:rPr>
        <w:t xml:space="preserve">Kroenke K., &amp; Spitzer R. L. (2002). The PHQ-9: A new depression diagnostic and severity measure. </w:t>
      </w:r>
      <w:r w:rsidRPr="00AB0CE2">
        <w:rPr>
          <w:rFonts w:asciiTheme="majorHAnsi" w:hAnsiTheme="majorHAnsi" w:cstheme="majorHAnsi"/>
          <w:i/>
          <w:color w:val="000000"/>
          <w:sz w:val="20"/>
          <w:szCs w:val="20"/>
        </w:rPr>
        <w:t>Psychiatric Annals,</w:t>
      </w:r>
      <w:r w:rsidRPr="00AB0CE2">
        <w:rPr>
          <w:rFonts w:asciiTheme="majorHAnsi" w:hAnsiTheme="majorHAnsi" w:cstheme="majorHAnsi"/>
          <w:color w:val="000000"/>
          <w:sz w:val="20"/>
          <w:szCs w:val="20"/>
        </w:rPr>
        <w:t xml:space="preserve"> 32, 509-521.</w:t>
      </w:r>
    </w:p>
    <w:p w14:paraId="624D07D5" w14:textId="77777777" w:rsidR="0057280A" w:rsidRPr="00AB0CE2" w:rsidRDefault="00137EDB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Theme="majorHAnsi" w:eastAsia="Calibri" w:hAnsiTheme="majorHAnsi" w:cstheme="majorHAnsi"/>
          <w:color w:val="333333"/>
          <w:sz w:val="20"/>
          <w:szCs w:val="20"/>
          <w:highlight w:val="white"/>
          <w:u w:val="single"/>
        </w:rPr>
      </w:pP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Kroenke, K., Spitzer, R. L., &amp; Williams, J. B. W. (2001). The PHQ-9: Validity of a brief depression severity measure. </w:t>
      </w:r>
      <w:r w:rsidRPr="00AB0CE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Journal of General Internal Medicin</w:t>
      </w: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>e</w:t>
      </w:r>
      <w:r w:rsidRPr="00AB0CE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, 16</w:t>
      </w: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>(9)</w:t>
      </w:r>
      <w:r w:rsidRPr="00AB0CE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,</w:t>
      </w: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606-613. </w:t>
      </w:r>
      <w:proofErr w:type="spellStart"/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>doi</w:t>
      </w:r>
      <w:proofErr w:type="spellEnd"/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: </w:t>
      </w:r>
      <w:hyperlink r:id="rId10">
        <w:r w:rsidRPr="00AB0CE2">
          <w:rPr>
            <w:rFonts w:asciiTheme="majorHAnsi" w:eastAsia="Calibri" w:hAnsiTheme="majorHAnsi" w:cstheme="majorHAnsi"/>
            <w:color w:val="333333"/>
            <w:sz w:val="20"/>
            <w:szCs w:val="20"/>
            <w:highlight w:val="white"/>
            <w:u w:val="single"/>
          </w:rPr>
          <w:t>10.1046/j.1525-1497.</w:t>
        </w:r>
        <w:proofErr w:type="gramStart"/>
        <w:r w:rsidRPr="00AB0CE2">
          <w:rPr>
            <w:rFonts w:asciiTheme="majorHAnsi" w:eastAsia="Calibri" w:hAnsiTheme="majorHAnsi" w:cstheme="majorHAnsi"/>
            <w:color w:val="333333"/>
            <w:sz w:val="20"/>
            <w:szCs w:val="20"/>
            <w:highlight w:val="white"/>
            <w:u w:val="single"/>
          </w:rPr>
          <w:t>2001.016009606.x</w:t>
        </w:r>
        <w:proofErr w:type="gramEnd"/>
      </w:hyperlink>
      <w:r w:rsidRPr="00AB0CE2">
        <w:rPr>
          <w:rFonts w:asciiTheme="majorHAnsi" w:eastAsia="Calibri" w:hAnsiTheme="majorHAnsi" w:cstheme="majorHAnsi"/>
          <w:color w:val="333333"/>
          <w:sz w:val="20"/>
          <w:szCs w:val="20"/>
          <w:highlight w:val="white"/>
          <w:u w:val="single"/>
        </w:rPr>
        <w:t>.</w:t>
      </w:r>
    </w:p>
    <w:p w14:paraId="6971DF3F" w14:textId="5C19398F" w:rsidR="0057280A" w:rsidRDefault="00137EDB" w:rsidP="00AB0CE2">
      <w:pPr>
        <w:pBdr>
          <w:top w:val="nil"/>
          <w:left w:val="nil"/>
          <w:bottom w:val="nil"/>
          <w:right w:val="nil"/>
          <w:between w:val="nil"/>
        </w:pBdr>
        <w:ind w:left="720" w:hanging="720"/>
      </w:pP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U.S. Department of Veteran Affairs, Department of Defense. (2022). </w:t>
      </w:r>
      <w:r w:rsidRPr="00AB0CE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VA/DoD clinical prac</w:t>
      </w:r>
      <w:r w:rsidRPr="00AB0CE2">
        <w:rPr>
          <w:rFonts w:asciiTheme="majorHAnsi" w:eastAsia="Calibri" w:hAnsiTheme="majorHAnsi" w:cstheme="majorHAnsi"/>
          <w:i/>
          <w:color w:val="000000"/>
          <w:sz w:val="20"/>
          <w:szCs w:val="20"/>
        </w:rPr>
        <w:t>tice guideline for the management of major depressive disorder.</w:t>
      </w:r>
      <w:r w:rsidRPr="00AB0CE2">
        <w:rPr>
          <w:rFonts w:asciiTheme="majorHAnsi" w:eastAsia="Calibri" w:hAnsiTheme="majorHAnsi" w:cstheme="majorHAnsi"/>
          <w:color w:val="000000"/>
          <w:sz w:val="20"/>
          <w:szCs w:val="20"/>
        </w:rPr>
        <w:t xml:space="preserve"> Retrieved from </w:t>
      </w:r>
      <w:hyperlink r:id="rId11">
        <w:r w:rsidRPr="00AB0CE2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>https://www.healthquality.va.gov/guidelines/MH/mdd/VADoDMDDCPGProvid</w:t>
        </w:r>
        <w:r w:rsidRPr="00AB0CE2">
          <w:rPr>
            <w:rFonts w:asciiTheme="majorHAnsi" w:eastAsia="Calibri" w:hAnsiTheme="majorHAnsi" w:cstheme="majorHAnsi"/>
            <w:color w:val="0000FF"/>
            <w:sz w:val="20"/>
            <w:szCs w:val="20"/>
            <w:u w:val="single"/>
          </w:rPr>
          <w:t>erSummaryFinal508.pdf</w:t>
        </w:r>
      </w:hyperlink>
    </w:p>
    <w:p w14:paraId="451FCE73" w14:textId="77777777" w:rsidR="0057280A" w:rsidRDefault="0057280A">
      <w:pPr>
        <w:tabs>
          <w:tab w:val="left" w:pos="5606"/>
        </w:tabs>
      </w:pPr>
    </w:p>
    <w:sectPr w:rsidR="005728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B07B3" w14:textId="77777777" w:rsidR="00137EDB" w:rsidRDefault="00137EDB">
      <w:r>
        <w:separator/>
      </w:r>
    </w:p>
  </w:endnote>
  <w:endnote w:type="continuationSeparator" w:id="0">
    <w:p w14:paraId="3428DB77" w14:textId="77777777" w:rsidR="00137EDB" w:rsidRDefault="0013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BD46" w14:textId="77777777" w:rsidR="0057280A" w:rsidRDefault="00572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AA7B" w14:textId="77777777" w:rsidR="0057280A" w:rsidRDefault="00572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9B127" w14:textId="77777777" w:rsidR="0057280A" w:rsidRDefault="00572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C333" w14:textId="77777777" w:rsidR="00137EDB" w:rsidRDefault="00137EDB">
      <w:r>
        <w:separator/>
      </w:r>
    </w:p>
  </w:footnote>
  <w:footnote w:type="continuationSeparator" w:id="0">
    <w:p w14:paraId="58B79B5F" w14:textId="77777777" w:rsidR="00137EDB" w:rsidRDefault="00137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07F69" w14:textId="77777777" w:rsidR="0057280A" w:rsidRDefault="0057280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E76A" w14:textId="77777777" w:rsidR="0057280A" w:rsidRDefault="00137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35C7F4D" wp14:editId="5E8C5CDA">
          <wp:simplePos x="0" y="0"/>
          <wp:positionH relativeFrom="column">
            <wp:posOffset>-457199</wp:posOffset>
          </wp:positionH>
          <wp:positionV relativeFrom="paragraph">
            <wp:posOffset>-457199</wp:posOffset>
          </wp:positionV>
          <wp:extent cx="7784358" cy="10058400"/>
          <wp:effectExtent l="0" t="0" r="0" b="0"/>
          <wp:wrapNone/>
          <wp:docPr id="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4358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9093" w14:textId="77777777" w:rsidR="0057280A" w:rsidRDefault="00137E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900"/>
      </w:tabs>
      <w:rPr>
        <w:rFonts w:ascii="Calibri" w:eastAsia="Calibri" w:hAnsi="Calibri" w:cs="Calibri"/>
        <w:color w:val="000000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49D2F3A8" wp14:editId="3CDA536A">
          <wp:simplePos x="0" y="0"/>
          <wp:positionH relativeFrom="column">
            <wp:posOffset>-457199</wp:posOffset>
          </wp:positionH>
          <wp:positionV relativeFrom="paragraph">
            <wp:posOffset>-457199</wp:posOffset>
          </wp:positionV>
          <wp:extent cx="7787707" cy="10058400"/>
          <wp:effectExtent l="0" t="0" r="0" b="0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7707" cy="1005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A"/>
    <w:rsid w:val="00137EDB"/>
    <w:rsid w:val="0057280A"/>
    <w:rsid w:val="00AB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5E16"/>
  <w15:docId w15:val="{A087828A-6F43-4C5B-B27B-D4E0AEBF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811"/>
    <w:rPr>
      <w:rFonts w:ascii="Calibri Light" w:eastAsia="Times New Roman" w:hAnsi="Calibri Light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F06"/>
    <w:pPr>
      <w:keepNext/>
      <w:keepLines/>
      <w:spacing w:after="120"/>
      <w:jc w:val="center"/>
      <w:outlineLvl w:val="0"/>
    </w:pPr>
    <w:rPr>
      <w:rFonts w:asciiTheme="minorHAnsi" w:eastAsiaTheme="majorEastAsia" w:hAnsiTheme="minorHAnsi" w:cstheme="majorBidi"/>
      <w:b/>
      <w:color w:val="20245D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4807"/>
    <w:pPr>
      <w:keepNext/>
      <w:keepLines/>
      <w:outlineLvl w:val="1"/>
    </w:pPr>
    <w:rPr>
      <w:rFonts w:asciiTheme="minorHAnsi" w:eastAsiaTheme="majorEastAsia" w:hAnsiTheme="minorHAnsi" w:cstheme="majorBidi"/>
      <w:color w:val="20245D"/>
      <w:sz w:val="26"/>
      <w:szCs w:val="26"/>
    </w:rPr>
  </w:style>
  <w:style w:type="paragraph" w:styleId="Heading3">
    <w:name w:val="heading 3"/>
    <w:aliases w:val="References"/>
    <w:basedOn w:val="Normal"/>
    <w:next w:val="Normal"/>
    <w:link w:val="Heading3Char"/>
    <w:uiPriority w:val="9"/>
    <w:unhideWhenUsed/>
    <w:qFormat/>
    <w:rsid w:val="00F3628F"/>
    <w:pPr>
      <w:keepNext/>
      <w:keepLines/>
      <w:spacing w:before="40"/>
      <w:outlineLvl w:val="2"/>
    </w:pPr>
    <w:rPr>
      <w:rFonts w:asciiTheme="minorHAnsi" w:eastAsiaTheme="majorEastAsia" w:hAnsiTheme="minorHAnsi" w:cstheme="majorBidi"/>
      <w:b/>
      <w:color w:val="3E3F3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F6811"/>
    <w:pPr>
      <w:contextualSpacing/>
      <w:jc w:val="center"/>
    </w:pPr>
    <w:rPr>
      <w:rFonts w:asciiTheme="majorHAnsi" w:eastAsiaTheme="majorEastAsia" w:hAnsiTheme="majorHAnsi" w:cstheme="majorBidi"/>
      <w:b/>
      <w:color w:val="20245D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A86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940"/>
  </w:style>
  <w:style w:type="paragraph" w:styleId="Footer">
    <w:name w:val="footer"/>
    <w:basedOn w:val="Normal"/>
    <w:link w:val="FooterChar"/>
    <w:uiPriority w:val="99"/>
    <w:unhideWhenUsed/>
    <w:rsid w:val="00A86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940"/>
  </w:style>
  <w:style w:type="character" w:customStyle="1" w:styleId="Heading1Char">
    <w:name w:val="Heading 1 Char"/>
    <w:basedOn w:val="DefaultParagraphFont"/>
    <w:link w:val="Heading1"/>
    <w:uiPriority w:val="9"/>
    <w:rsid w:val="00575F06"/>
    <w:rPr>
      <w:rFonts w:eastAsiaTheme="majorEastAsia" w:cstheme="majorBidi"/>
      <w:b/>
      <w:color w:val="20245D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4807"/>
    <w:rPr>
      <w:rFonts w:eastAsiaTheme="majorEastAsia" w:cstheme="majorBidi"/>
      <w:color w:val="20245D"/>
      <w:sz w:val="26"/>
      <w:szCs w:val="26"/>
    </w:rPr>
  </w:style>
  <w:style w:type="character" w:styleId="BookTitle">
    <w:name w:val="Book Title"/>
    <w:qFormat/>
    <w:rsid w:val="00A86940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A86940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customStyle="1" w:styleId="Heading3Char">
    <w:name w:val="Heading 3 Char"/>
    <w:aliases w:val="References Char"/>
    <w:basedOn w:val="DefaultParagraphFont"/>
    <w:link w:val="Heading3"/>
    <w:uiPriority w:val="9"/>
    <w:rsid w:val="00F3628F"/>
    <w:rPr>
      <w:rFonts w:eastAsiaTheme="majorEastAsia" w:cstheme="majorBidi"/>
      <w:b/>
      <w:color w:val="3E3F3E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F6811"/>
    <w:rPr>
      <w:rFonts w:asciiTheme="majorHAnsi" w:eastAsiaTheme="majorEastAsia" w:hAnsiTheme="majorHAnsi" w:cstheme="majorBidi"/>
      <w:b/>
      <w:color w:val="20245D"/>
      <w:spacing w:val="-10"/>
      <w:kern w:val="28"/>
      <w:sz w:val="48"/>
      <w:szCs w:val="56"/>
    </w:rPr>
  </w:style>
  <w:style w:type="character" w:styleId="Hyperlink">
    <w:name w:val="Hyperlink"/>
    <w:uiPriority w:val="99"/>
    <w:unhideWhenUsed/>
    <w:rsid w:val="00E361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1C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E361CF"/>
    <w:pPr>
      <w:widowControl w:val="0"/>
      <w:ind w:left="560"/>
    </w:pPr>
    <w:rPr>
      <w:rFonts w:ascii="Arial" w:eastAsia="Arial" w:hAnsi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361CF"/>
    <w:rPr>
      <w:rFonts w:ascii="Arial" w:eastAsia="Arial" w:hAnsi="Arial" w:cs="Times New Roman"/>
    </w:rPr>
  </w:style>
  <w:style w:type="paragraph" w:customStyle="1" w:styleId="TableParagraph">
    <w:name w:val="Table Paragraph"/>
    <w:basedOn w:val="Normal"/>
    <w:uiPriority w:val="1"/>
    <w:semiHidden/>
    <w:qFormat/>
    <w:rsid w:val="00E361CF"/>
    <w:pPr>
      <w:widowControl w:val="0"/>
    </w:pPr>
    <w:rPr>
      <w:rFonts w:ascii="Calibri" w:eastAsia="Calibri" w:hAnsi="Calibri"/>
      <w:szCs w:val="22"/>
    </w:rPr>
  </w:style>
  <w:style w:type="character" w:customStyle="1" w:styleId="GridTable1Light1">
    <w:name w:val="Grid Table 1 Light1"/>
    <w:qFormat/>
    <w:rsid w:val="00E361CF"/>
    <w:rPr>
      <w:b/>
      <w:bCs/>
      <w:i/>
      <w:iC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4E7CA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B049D"/>
    <w:rPr>
      <w:rFonts w:ascii="Calibri Light" w:eastAsia="Times New Roman" w:hAnsi="Calibri Light" w:cs="Times New Roman"/>
      <w:szCs w:val="24"/>
    </w:rPr>
  </w:style>
  <w:style w:type="paragraph" w:customStyle="1" w:styleId="Default">
    <w:name w:val="Default"/>
    <w:rsid w:val="00C74A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219C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healthquality.va.gov/guidelines/MH/mdd/VADoDMDDCPGProviderSummaryFinal508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oi.org/10.1046/j.1525-1497.2001.016009606.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hqscreeners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s4n8WVHdgLiJIBlBbcB/K8aHfQ==">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Metrics Series - PHQ</dc:title>
  <dc:creator>Center for Deployment Psychology</dc:creator>
  <cp:lastModifiedBy>Melissa Mistretta</cp:lastModifiedBy>
  <cp:revision>2</cp:revision>
  <dcterms:created xsi:type="dcterms:W3CDTF">2022-04-22T17:53:00Z</dcterms:created>
  <dcterms:modified xsi:type="dcterms:W3CDTF">2022-05-18T23:01:00Z</dcterms:modified>
  <cp:category>Metrics</cp:category>
  <cp:version>6/14/2022</cp:version>
</cp:coreProperties>
</file>